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Jedna na cztery młode osoby dorosłe ma już dwie choroby przewlekłe. Alarmujące dane projektu VIP 2030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Ponad 2500 Polaków przeszło już kompleksowe badania w ramach projektu VIP 2030. Pierwsze wyniki szokują: wielochorobowość dotyka nawet dwudziestolatków, a w niektórych regionach problem może być większy niż w statystykach ogólnopolskich. Czy Twoja gmina jest już objęta badaniem?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Młodzi Polacy chorują jak seniorzy – dane z ponad 2500 wywiadów nie pozostawiają złudzeń</w:t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Z przeprowadzonych już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analiz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wyłania się obraz pokolenia, które w wieku swoich rodziców może zmierzyć się z lawiną powikłań zdrowotnych.</w:t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Co czwarty młody człowiek między 20. a 34. rokiem życia żyje już z co najmniej dwoma przewlekłymi chorobami.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 grupie wiekowej 50-64 lata – to już 86% populacji. Co dziesiąta osoba w tym przedziale wiekowym zmaga się jednocześnie z pięcioma różnymi chorobami.</w:t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– Obserwujemy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niepokojąco wysoką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 częstość wielochorobowości we wszystkich grupach wiekowych. To nie jest już problem tylko seniorów – coraz częściej dotyka kobiet i mężczyzn w wieku średnim, a w sporadycznych przypadkach nawet osób młodych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– alarmuje prof. dr hab. n. med. Wojciech Drygas, kierownik naukowy projektu.</w:t>
      </w:r>
    </w:p>
    <w:p w:rsidR="00000000" w:rsidDel="00000000" w:rsidP="00000000" w:rsidRDefault="00000000" w:rsidRPr="00000000" w14:paraId="00000007">
      <w:pPr>
        <w:pStyle w:val="Heading3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Prawie 2000 osób wie już więcej o swoim zdrowiu – kolejne czekają na swoją kolej</w:t>
      </w:r>
    </w:p>
    <w:p w:rsidR="00000000" w:rsidDel="00000000" w:rsidP="00000000" w:rsidRDefault="00000000" w:rsidRPr="00000000" w14:paraId="00000008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Do tej pory prawie 2000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 uczestników projektu przeszło pełną ścieżkę diagnostyczną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– od wywiadu po pobranie krwi i zaawansowane badania laboratoryjne. To najbardziej kompleksowe badanie populacyjne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dotyczące wielochorobowości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w Polsce od dekad, a jego skala wciąż rośnie.</w:t>
      </w:r>
    </w:p>
    <w:p w:rsidR="00000000" w:rsidDel="00000000" w:rsidP="00000000" w:rsidRDefault="00000000" w:rsidRPr="00000000" w14:paraId="00000009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Mieszkańcy wylosowanych gmin odkrywają problemy zdrowotne, o których nie mieli pojęcia. Dla wielu jest to pierwsza w życiu okazja do wykonania tak szerokiego panelu badań – zupełnie za darmo.</w:t>
      </w:r>
    </w:p>
    <w:p w:rsidR="00000000" w:rsidDel="00000000" w:rsidP="00000000" w:rsidRDefault="00000000" w:rsidRPr="00000000" w14:paraId="0000000A">
      <w:pPr>
        <w:pStyle w:val="Heading3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Ankieterzy w terenie: „Ludzie sami zgłaszają się do badania”</w:t>
      </w:r>
    </w:p>
    <w:p w:rsidR="00000000" w:rsidDel="00000000" w:rsidP="00000000" w:rsidRDefault="00000000" w:rsidRPr="00000000" w14:paraId="0000000B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Zespół ankieterów z firmy Research Collective przemierza Polskę, odwiedzając starannie wylosowane gospodarstwa domowe. Relacje z terenu pokazują, że projekt budzi ogromne zainteresowanie.</w:t>
      </w:r>
    </w:p>
    <w:p w:rsidR="00000000" w:rsidDel="00000000" w:rsidP="00000000" w:rsidRDefault="00000000" w:rsidRPr="00000000" w14:paraId="0000000C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– Chętnych do udziału w badaniu jest dużo, ale przeprowadzam wywiady tylko z rodzinami mieszkającymi pod adresami z wylosowanej  próby. Muszę pilnować, aby wszystko było zrobione dokładnie. Nie robię żadnych wyjątków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– zapewnia ankieter.</w:t>
      </w:r>
    </w:p>
    <w:p w:rsidR="00000000" w:rsidDel="00000000" w:rsidP="00000000" w:rsidRDefault="00000000" w:rsidRPr="00000000" w14:paraId="0000000D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 istotne – kampania informacyjna działa. Mieszkańcy często wiedzą o projekcie, zanim ankieter zapuka do ich drzwi.</w:t>
      </w:r>
    </w:p>
    <w:p w:rsidR="00000000" w:rsidDel="00000000" w:rsidP="00000000" w:rsidRDefault="00000000" w:rsidRPr="00000000" w14:paraId="0000000E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– Kilkukrotnie spotkałam się z sytuacją, w której respondenci wiedzieli o badaniu jeszcze zanim zapukałam do ich drzwi. Dzięki temu byli bardziej otwarci na rozmowę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– opowiada ankieterka.</w:t>
      </w:r>
    </w:p>
    <w:p w:rsidR="00000000" w:rsidDel="00000000" w:rsidP="00000000" w:rsidRDefault="00000000" w:rsidRPr="00000000" w14:paraId="0000000F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 dobie powszechnych oszustw, uczestnicy weryfikują autentyczność badania dzwoniąc na infolinię.</w:t>
      </w:r>
    </w:p>
    <w:p w:rsidR="00000000" w:rsidDel="00000000" w:rsidP="00000000" w:rsidRDefault="00000000" w:rsidRPr="00000000" w14:paraId="00000010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– Nie raz się zdarza, że ludzie, zanim cokolwiek odpowiedzą, dzwonią na infolinię, żeby sprawdzić, o co chodzi w badaniu i czy ja naprawdę jestem ankieterem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– dodaje ankieter.</w:t>
      </w:r>
    </w:p>
    <w:p w:rsidR="00000000" w:rsidDel="00000000" w:rsidP="00000000" w:rsidRDefault="00000000" w:rsidRPr="00000000" w14:paraId="00000011">
      <w:pPr>
        <w:pStyle w:val="Heading3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Nowoczesne i kosztowne badania – dla uczestników Projektu VIP 2030 za darmo</w:t>
      </w:r>
    </w:p>
    <w:p w:rsidR="00000000" w:rsidDel="00000000" w:rsidP="00000000" w:rsidRDefault="00000000" w:rsidRPr="00000000" w14:paraId="00000012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Panel diagnostyczny obejmuje badania, które w prywatnych placówkach mogłyby kosztować od kilkuset do ponad tysiąca złotych: hsCRP, kreatynina, insulina, hemoglobina glikowana, hormony tarczycy, witaminy D3 i B12. Do tego testy funkcjonalne wykrywające zespół słabości – mało do tej pory znany problem, który może być zwiastunem poważnych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chorób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– Wszyscy wiemy jakie znaczenie dla naszego zdrowia ma zapobieganie chorobom, regularna kontrola własnego zdrowia, wykonywanie nowoczesnych badań diagnostycznych. W wielu przypadkach badania profilaktyczne pozwalają na wczesne rozpoznanie poważnej choroby i szybkie wdrożenie skutecznego leczenia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– podkreśla prof. dr hab. n. med. Arkadiusz Niklas z Uniwersytetu Medycznego w Poznaniu.</w:t>
      </w:r>
    </w:p>
    <w:p w:rsidR="00000000" w:rsidDel="00000000" w:rsidP="00000000" w:rsidRDefault="00000000" w:rsidRPr="00000000" w14:paraId="00000014">
      <w:pPr>
        <w:pStyle w:val="Heading3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Zespół słabości – cicha epidemia, która dotyka nie tylko seniorów</w:t>
      </w:r>
    </w:p>
    <w:p w:rsidR="00000000" w:rsidDel="00000000" w:rsidP="00000000" w:rsidRDefault="00000000" w:rsidRPr="00000000" w14:paraId="00000015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Projekt zwraca uwagę na niedocenianą diagnozę: zespół słabości. Objawy to niezamierzona utrata wagi, osłabienie siły mięśni, łatwe męczenie się, wolniejszy chód i niska aktywność fizyczna.</w:t>
      </w:r>
    </w:p>
    <w:p w:rsidR="00000000" w:rsidDel="00000000" w:rsidP="00000000" w:rsidRDefault="00000000" w:rsidRPr="00000000" w14:paraId="00000016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– Zespół słabości jest łatwy do zdiagnozowania przy pomocy prostych testów sprawności, np. siły uścisku dłoni, testu powstania z krzesła, oceny szybkości chodu. W Projekcie VIP 2030 zamierzamy zwrócić uwagę na ten rzadko rozpoznawany zespół zaburzeń funkcjonalnych. W przypadku jego rozpoznania, możemy wskazać odpowiednie środki zaradcze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– wyjaśnia prof. dr hab. n. med. Magdalena Kwaśniewska z Uniwersytetu Medycznego w Łodzi.</w:t>
      </w:r>
    </w:p>
    <w:p w:rsidR="00000000" w:rsidDel="00000000" w:rsidP="00000000" w:rsidRDefault="00000000" w:rsidRPr="00000000" w14:paraId="00000017">
      <w:pPr>
        <w:pStyle w:val="Heading3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Trzy dekady doświadczenia, publikacje w światowych czasopismach</w:t>
      </w:r>
    </w:p>
    <w:p w:rsidR="00000000" w:rsidDel="00000000" w:rsidP="00000000" w:rsidRDefault="00000000" w:rsidRPr="00000000" w14:paraId="00000018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Projekt, finansowany przez Agencję Badań Medycznych realizuje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konsorcjum Uniwersytetu Medycznego w Łodzi, Uniwersytetu Medycznego w Poznaniu oraz Uniwersytetu Kaliskiego. Zespół profesora Drygasa od ponad 30 lat prowadzi badania epidemiologiczne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 realizuje programy profilaktyki i leczenia chorób przewlekłych we współpracy z WHO i najlepszymi zagranicznymi placówkami badawczymi,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publikując wyniki w prestiżowych czasopismach: New England Journal of Medicine, Lancet, Nature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czy British Medical Journal.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rtl w:val="0"/>
        </w:rPr>
        <w:t xml:space="preserve">– Korzyści z udziału w naszym Projekcie są obustronne – nasi podopieczni zyskują dodatkową znakomitą i bezpłatną wiedzę o swoim stanie zdrowia, my zaś dysponujemy możliwością oceny skali wielochorobowości w reprezentatywnych wysokiej jakości badaniach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– zachęca prof. dr hab. n. med. Andrzej Wojtyła, rektor Uniwersytetu Kaliskiego.</w:t>
      </w:r>
    </w:p>
    <w:p w:rsidR="00000000" w:rsidDel="00000000" w:rsidP="00000000" w:rsidRDefault="00000000" w:rsidRPr="00000000" w14:paraId="0000001A">
      <w:pPr>
        <w:pStyle w:val="Heading3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 to badanie daje Twojej gminie?</w:t>
      </w:r>
    </w:p>
    <w:p w:rsidR="00000000" w:rsidDel="00000000" w:rsidP="00000000" w:rsidRDefault="00000000" w:rsidRPr="00000000" w14:paraId="0000001B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Projekt trwa do 2030 roku i stworzy pierwszą w Polsce kompleksową bazę danych o wielochorobowości.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Realizatorzy badań liczą, że jego wyniki pozwolą  na lepsze i  bardziej skuteczne działania profilaktyczne i lecznicze wobec chorób przewlekłych, nie tylko w naszym kraju.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Dla uczestników Projektu VIP 2030  to nie tylko wiedza o własnym zdrowiu – to szansa na wczesne wykrycie problemów, które można jeszcze powstrzymać.</w:t>
      </w:r>
    </w:p>
    <w:p w:rsidR="00000000" w:rsidDel="00000000" w:rsidP="00000000" w:rsidRDefault="00000000" w:rsidRPr="00000000" w14:paraId="0000001C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Z ponad 2500 zrealizowanych wywiadów i ponad 2000 kompletnych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badań diagnostycznych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rojekt VIP 2030 nabiera tempa. Jeśli ankieter jeszcze nie zapukał do Twoich drzwi – może zrobi to już wkrótce.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To może być najważniejsza wizyta tego roku – bądź na nią otwarty!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Więcej informacji: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https://vip2030.ump.edu.pl/</w:t>
      </w:r>
    </w:p>
    <w:p w:rsidR="00000000" w:rsidDel="00000000" w:rsidP="00000000" w:rsidRDefault="00000000" w:rsidRPr="00000000" w14:paraId="0000001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568950" cy="603250"/>
          <wp:effectExtent b="0" l="0" r="0" t="0"/>
          <wp:docPr id="158652821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68950" cy="603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Projekt "Biomedyczne i socjoekonomiczne uwarunkowania oraz konsekwencje zdrowotne i społeczno-ekonomiczne wielochorobowości w Polsce. Diagnoza epidemiologiczna, analiza wieloletnich trendów, propozycja programów interwencyjnych." Numer projektu 2023/ABM/03/00015.                      </w:t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7A0E45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7A0E45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7A0E45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basedOn w:val="Domylnaczcionkaakapitu"/>
    <w:link w:val="Nagwek1"/>
    <w:uiPriority w:val="9"/>
    <w:rsid w:val="007A0E45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rsid w:val="007A0E45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rsid w:val="007A0E45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7A0E45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7A0E45"/>
    <w:rPr>
      <w:rFonts w:cstheme="majorBidi" w:eastAsiaTheme="majorEastAsia"/>
      <w:color w:val="2f5496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7A0E45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7A0E45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7A0E45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7A0E45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link w:val="Tytu"/>
    <w:uiPriority w:val="10"/>
    <w:rsid w:val="007A0E4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link w:val="Podtytu"/>
    <w:uiPriority w:val="11"/>
    <w:rsid w:val="007A0E45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7A0E45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7A0E45"/>
    <w:rPr>
      <w:i w:val="1"/>
      <w:iCs w:val="1"/>
      <w:color w:val="404040" w:themeColor="text1" w:themeTint="0000BF"/>
    </w:rPr>
  </w:style>
  <w:style w:type="paragraph" w:styleId="Akapitzlist">
    <w:name w:val="List Paragraph"/>
    <w:basedOn w:val="Normalny"/>
    <w:uiPriority w:val="34"/>
    <w:qFormat w:val="1"/>
    <w:rsid w:val="007A0E45"/>
    <w:pPr>
      <w:ind w:left="720"/>
      <w:contextualSpacing w:val="1"/>
    </w:pPr>
  </w:style>
  <w:style w:type="character" w:styleId="Wyrnienieintensywne">
    <w:name w:val="Intense Emphasis"/>
    <w:basedOn w:val="Domylnaczcionkaakapitu"/>
    <w:uiPriority w:val="21"/>
    <w:qFormat w:val="1"/>
    <w:rsid w:val="007A0E45"/>
    <w:rPr>
      <w:i w:val="1"/>
      <w:iCs w:val="1"/>
      <w:color w:val="2f5496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7A0E45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7A0E45"/>
    <w:rPr>
      <w:i w:val="1"/>
      <w:iCs w:val="1"/>
      <w:color w:val="2f5496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7A0E45"/>
    <w:rPr>
      <w:b w:val="1"/>
      <w:bCs w:val="1"/>
      <w:smallCaps w:val="1"/>
      <w:color w:val="2f5496" w:themeColor="accent1" w:themeShade="0000BF"/>
      <w:spacing w:val="5"/>
    </w:rPr>
  </w:style>
  <w:style w:type="paragraph" w:styleId="Nagwek">
    <w:name w:val="header"/>
    <w:basedOn w:val="Normalny"/>
    <w:link w:val="NagwekZnak"/>
    <w:uiPriority w:val="99"/>
    <w:unhideWhenUsed w:val="1"/>
    <w:rsid w:val="006654CE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6654CE"/>
  </w:style>
  <w:style w:type="paragraph" w:styleId="Stopka">
    <w:name w:val="footer"/>
    <w:basedOn w:val="Normalny"/>
    <w:link w:val="StopkaZnak"/>
    <w:uiPriority w:val="99"/>
    <w:unhideWhenUsed w:val="1"/>
    <w:rsid w:val="006654CE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654CE"/>
  </w:style>
  <w:style w:type="character" w:styleId="Pogrubienie">
    <w:name w:val="Strong"/>
    <w:basedOn w:val="Domylnaczcionkaakapitu"/>
    <w:uiPriority w:val="22"/>
    <w:qFormat w:val="1"/>
    <w:rsid w:val="00850832"/>
    <w:rPr>
      <w:b w:val="1"/>
      <w:bCs w:val="1"/>
    </w:rPr>
  </w:style>
  <w:style w:type="paragraph" w:styleId="NormalnyWeb">
    <w:name w:val="Normal (Web)"/>
    <w:basedOn w:val="Normalny"/>
    <w:uiPriority w:val="99"/>
    <w:semiHidden w:val="1"/>
    <w:unhideWhenUsed w:val="1"/>
    <w:rsid w:val="0085083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lang w:eastAsia="pl-PL"/>
    </w:rPr>
  </w:style>
  <w:style w:type="character" w:styleId="apple-converted-space" w:customStyle="1">
    <w:name w:val="apple-converted-space"/>
    <w:basedOn w:val="Domylnaczcionkaakapitu"/>
    <w:rsid w:val="00850832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ist6Toue5bW1JliinWkfBFJXA==">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2025-12-18T10:28:00Z</dcterms:created>
  <dc:creator>Ewa Walkowiak</dc:creator>
</cp:coreProperties>
</file>