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</w:p>
    <w:p w:rsid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Nowa odsłona programu ,,Czyste Powietrze"</w:t>
      </w:r>
    </w:p>
    <w:p w:rsid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Szczegóły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ws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zmian programu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„Czyste Powietrze”: </w:t>
      </w:r>
      <w:hyperlink r:id="rId8" w:history="1">
        <w:r w:rsidRPr="00505F14">
          <w:rPr>
            <w:rFonts w:ascii="Arial" w:eastAsia="Times New Roman" w:hAnsi="Arial" w:cs="Arial"/>
            <w:color w:val="131415"/>
            <w:sz w:val="24"/>
            <w:szCs w:val="24"/>
            <w:lang w:eastAsia="pl-PL"/>
          </w:rPr>
          <w:t>https://czystepowietrze.gov.pl/media/informacje-prasowe/nowe-zasady-w-programie-czyste-powietrze</w:t>
        </w:r>
      </w:hyperlink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 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O Programie</w:t>
      </w: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br/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„Czyste Powietrze” to program dotacyjny, którego celem jest wsparcie finansowe mieszkańców w ociepleniu ich domów jednorodzinnych i wymianie ogrzewania.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Dzięki programowi możliwa jest termomodernizacja budynków jednorodzinnych oraz zlikwidowanie starych i nieefektywnych źródeł ciepła na paliwo stałe będących główną przyczyną zanieczyszczenia powietrza.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Dostaniesz pieniądze na wymianę m.in. okien i drzwi, ocieplenie ścian i dachu, nowe źródło ciepła oraz inne niezbędne prace.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 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Co nowego w programie?</w:t>
      </w:r>
    </w:p>
    <w:p w:rsidR="00505F14" w:rsidRPr="00505F14" w:rsidRDefault="00505F14" w:rsidP="00505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Obowiązkowe potwierdzenie standardu energetycznego przed i po inwestycji.</w:t>
      </w:r>
    </w:p>
    <w:p w:rsidR="00505F14" w:rsidRPr="00505F14" w:rsidRDefault="00505F14" w:rsidP="00505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Warunki najwyższego dofinansowania uzależnione od kryterium dochodowego i standardu energetycznego budynku.</w:t>
      </w:r>
    </w:p>
    <w:p w:rsidR="00505F14" w:rsidRPr="00505F14" w:rsidRDefault="00505F14" w:rsidP="00505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Ogólnopolski system operatorów – bezpłatne wsparcie dla beneficjentów najwyższego i podwyższonego poziomu dofinansowania. Operatorzy programu bezpłatnie pomogą osobom o najniższych dochodach na ścieżce dofinansowania, realizacji przedsięwzięcia i jego rozliczenia. Operatorami w pierwszej kolejności będą gminy i wojewódzkie fundusze ochrony środowiska i gospodarki wodnej (</w:t>
      </w:r>
      <w:proofErr w:type="spellStart"/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).</w:t>
      </w:r>
    </w:p>
    <w:p w:rsidR="00505F14" w:rsidRPr="00505F14" w:rsidRDefault="00505F14" w:rsidP="00505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Racjonalizacja wydatków – maksymalne kwoty dotacji w poszczególnych rodzajach kosztów kwalifikowanych, w tym limity dotacji jednostkowych na m2 powierzchni ocieplenia.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lastRenderedPageBreak/>
        <w:t>Dla kogo program Czyste Powietrze?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Nowa odsłona programu skierowana jest do osób fizycznych, które są właścicielami lub współwłaścicielami domu jednorodzinnego lub wydzielonego w nim lokalu mieszkalnego z wyodrębnioną księgą wieczystą. Minimalny okres tej własności musi wynosić 3 lata przed złożeniem wniosku o dofinansowanie. Wymóg ten nie dotyczy sytuacji spadkowych.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 jeden budynek lub lokal mieszkalny można dostać jedno dofinansowanie, a beneficjentem można być tylko raz.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Dotacja jest wypłacana przez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 całości lub w maksymalnie trzech częściach. Do dofinansowania kwalifikują się inwestycje tylko w tych budynkach, które uzyskały pozwolenie na budowę do 31.12.2020 r. Dopuszcza się pozostawienie kominków wykorzystywanych na cele rekreacyjne, ale pod warunkiem, że spełniają wymagania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ekoprojektu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oraz docelowe wymogi uchwał antysmogowych obowiązujących na danym terenie oraz nie są głównym źródłem ogrzewania.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Wyższe progi dochodowe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Program zakłada trzy poziomy dofinansowania według progów dochodowych w gospodarstwie domowym, które zostały podwyższone.</w:t>
      </w:r>
    </w:p>
    <w:p w:rsidR="00505F14" w:rsidRPr="00505F14" w:rsidRDefault="00505F14" w:rsidP="00505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Poziom najwyższy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– do 100% kosztów kwalifikowanych – obowiązuje przy średnim miesięcznym dochodzie do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1 300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zł 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 osobę w gospodarstwach wieloosobowych lub do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1 800 zł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w gospodarstwie domowym jednoosobowym, oraz dla tych, którzy mają ustalone prawo do jednej z czterech form zasiłku określonych w programie (tj. zasiłku stałego, okresowego, rodzinnego lub specjalnego zasiłku opiekuńczego). Roczny przychód z tytułu prowadzenia przez wnioskodawcę lub małżonka wnioskodawcy działalności gospodarczej może wynosić maksymalnie dwunastokrotność minimalnego wynagrodzenia za pracę. Dofinansowanie w najwyższym progu przewidziano tylko dla ubogich energetycznie, czyli dla właścicieli budynków lub lokali, w których zapotrzebowanie na energię użytkową do ogrzewania wynosi powyżej 140 kWh/m2 rocznie.</w:t>
      </w:r>
    </w:p>
    <w:p w:rsidR="00505F14" w:rsidRPr="00505F14" w:rsidRDefault="00505F14" w:rsidP="00505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Poziom podwyższony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– do 70% kosztów kwalifikowanych – obowiązuje przy miesięcznym dochodzie do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2 250 zł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na osobę w gospodarstwie wieloosobowym lub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3 150 zł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w gospodarstwach jednoosobowych. Roczny przychód z tytułu prowadzenia przez wnioskodawcę lub małżonka wnioskodawcy działalności gospodarczej może wynosić maksymalnie czterdziestokrotność minimalnego wynagrodzenia za pracę.</w:t>
      </w:r>
    </w:p>
    <w:p w:rsidR="00505F14" w:rsidRPr="00505F14" w:rsidRDefault="00505F14" w:rsidP="00505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Poziom podstawowy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– dotacja do 40% kosztów kwalifikowanych – jest dla tych, których roczny dochód nie przekracza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135 000 zł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lastRenderedPageBreak/>
        <w:t>Potwierdzony standard energetyczny domu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ramach programu wprowadzono ponadto wymóg obowiązkowego potwierdzenia standardu energetycznego budynku – zarówno przed przeprowadzeniem inwestycji, jak i po. Mają do tego posłużyć:</w:t>
      </w:r>
    </w:p>
    <w:p w:rsidR="00505F14" w:rsidRPr="00505F14" w:rsidRDefault="00505F14" w:rsidP="00505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przed realizacją przedsięwzięcia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– audyt energetyczny wraz z dokumentem podsumowującym audyt energetyczny (określą, jaki jest stan energetyczny budynku i jakie prace należy wykonać, żeby zmniejszyć zapotrzebowanie na energię do ogrzewania),</w:t>
      </w:r>
    </w:p>
    <w:p w:rsidR="00505F14" w:rsidRPr="00505F14" w:rsidRDefault="00505F14" w:rsidP="00505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 realizacji przedsięwzięcia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– świadectwo charakterystyki energetycznej (potwierdzi zmniejszenie zapotrzebowania na energię do ogrzewania).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Oba te dokumenty muszą być podpisane przez osobę wpisaną do rejestru osób uprawnionych do sporządzania świadectw charakterystyki energetycznej (wykaz Ministerstwa Rozwoju i Technologii na stronie: rejestrcheb.mrit.gov.pl/rejestr-uprawnionych), powinny być poprzedzone wizytą w domu. Na audyt i świadectwo można również pozyskać dotację z programu Czyste Powietrze – łącznie do 1 600 zł.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Operator. Kto to, komu i w czym może pomóc?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ramach reformy wprowadzono ogólnopolski system operatorów. Operatorzy będą bezpłatnie wspierać beneficjenta krok po kroku, od podjęcia decyzji o dofinansowaniu, przez realizację przedsięwzięcia aż do jego zakończenia i rozliczenia. Najwyższy poziom dofinansowania będzie dostępny tylko przy wsparciu operatora. Podobna sytuacja dotyczy dotacji z prefinansowaniem. W przypadku poziomu podwyższonego będzie to opcja do wyboru.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Prefinansowanie na nowych zasadach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Prefinansowanie (zaliczka) w nowej odsłonie programu Czyste Powietrze możliwe jest tylko przez operatora i tylko w najwyższym oraz podwyższonym poziomie dofinansowania. Zaliczka wynosi do 35% i jest uwarunkowana przedłożeniem wraz z wnioskiem o dofinansowanie maksymalnie trzech umów z wykonawcami na realizację przedsięwzięcia.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będzie wypłacał zaliczkę na konto wykonawcy na podstawie: dyspozycji beneficjenta, faktury zaliczkowej oraz listy sprawdzającej operatora, potwierdzającej spełnienie warunków programu.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Racjonalne wydatki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nowym Czystym Powietrzu określone zostały maksymalne kwoty dotacji w poszczególnych rodzajach kosztów kwalifikowanych. Ograniczono także poziom dofinansowania do prac towarzyszących niezbędnych do realizacji przedsięwzięcia, 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ale niebędących jego głównym elementem. Wyznaczono limity dotacji jednostkowych na metr kwadratowy powierzchni ocieplenia stropów, podłóg i ścian oraz za okna.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Warto przypomnieć, że podatek od towarów i usług (VAT) nie jest kosztem kwalifikowanym, zatem jego koszt będzie ponosił zawsze beneficjent.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Lista zielonych materiałów i urządzeń tzw. lista ZUM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Beneficjenci programu Czyste Powietrze mogą skorzystać z </w:t>
      </w:r>
      <w:hyperlink r:id="rId9" w:history="1">
        <w:r w:rsidRPr="00505F14">
          <w:rPr>
            <w:rFonts w:ascii="Arial" w:eastAsia="Times New Roman" w:hAnsi="Arial" w:cs="Arial"/>
            <w:color w:val="131415"/>
            <w:sz w:val="24"/>
            <w:szCs w:val="24"/>
            <w:lang w:eastAsia="pl-PL"/>
          </w:rPr>
          <w:t>listy ZUM</w:t>
        </w:r>
      </w:hyperlink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która pomaga w wyborze urządzeń i materiałów kwalifikujących się do dofinansowania. </w:t>
      </w:r>
      <w:hyperlink r:id="rId10" w:history="1">
        <w:r w:rsidRPr="00505F14">
          <w:rPr>
            <w:rFonts w:ascii="Arial" w:eastAsia="Times New Roman" w:hAnsi="Arial" w:cs="Arial"/>
            <w:color w:val="131415"/>
            <w:sz w:val="24"/>
            <w:szCs w:val="24"/>
            <w:lang w:eastAsia="pl-PL"/>
          </w:rPr>
          <w:t>Lista ZUM</w:t>
        </w:r>
      </w:hyperlink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jest obowiązkowa w przypadku wyboru: pomp ciepła, kotłów zgazowujących drewno oraz kotłów na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pellet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Obecnie na liście znajdują się tylko te pompy ciepła, które mają badania z europejskiego laboratorium, potwierdzające zadeklarowane przez producenta parametry urządzania.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ULGA TERMOMODERNIZACYJNA 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Rozliczając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 PIT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możesz skorzystać z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ULGI TERMOMODERNIZACYJNEJ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Ulgę termomodernizacyjną można łączyć z dofinansowaniem z Czystego Powietrza.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DOTACJA KROK PO KROKU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1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Poznaj zasady programu: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    • punkt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konsultacyjno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- informacyjny w gminie/ strona internetowa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czystepowietrze.gov.pl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ogólnopolska infolinia: 22 340 40 80 od poniedziałku do piątku, 8:00-16:00 (pytania dotyczące zasad programu).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2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Ustal zakres niezbędnych prac w Twoim budynku: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czy wymaga ocieplenia czyli termomodernizacji?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 możesz dostać na to dotację nawet jeśli masz już nowoczesny piec, który spełnia wymogi programu,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ale konieczność wykonania ocieplenia musi wynikać z audytu i dokumentu podsumowującego audyt.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     • czy wymaga wymiany źródła ciepła?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 masz starego kopciucha i chcesz zainstalować nowe, zgodne z wymaganiami prawa urządzenie grzewcze w ocenie potrzeb związanych z wymianą źródła ciepła pomoże Ci audytor.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3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Przygotuj niezbędne dokumenty: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księgę wieczystą lub inne dokumenty dotyczące własności budynku,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zgodę współwłaściciela/współwłaścicieli na realizację przedsięwzięcia (jeśli dotyczy),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zaświadczenie o dochodach wydane przez wójta, burmistrza lub prezydenta miasta właściwego ze względu na adres zamieszkania wnioskodawcy (jeśli wnioskujesz o podwyższony lub najwyższy poziom dofinansowania),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zgodę współmałżonka na zaciąganie zobowiązań w ramach umowy o dofinansowanie (jeśli dotyczy),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umowę/y z wykonawcą/mi (jeśli wnioskujesz o dotację z prefinansowaniem).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4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Wypełnij i złóż wniosek o dofinansowanie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w  formie dotacji w ramach podstawowego poziomu dofinansowania oraz podwyższonego poziomu dofinansowania bez wsparcia operatora: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 elektronicznie za pośrednictwem portalu www.gov.pl i systemu GWD: gwd.nfosigw.gov.pl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 w wersji papierowej za pośrednictwem serwisu GWD: gwd.nfosigw.gov.pl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wniosek wypełniasz elektronicznie, następnie drukujesz, podpisujesz ręcznie i wraz z załącznikami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wysyłasz do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lub składasz do przez gminny punkt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konsultacyjno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– informacyjny.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    • w formie DOTACJI przeznaczonej na spłatę kredytu bankowego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wniosek wypełniasz w okienku bankowym (lista banków dostępna jest na stronie czystepowietrze.gov.pl).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Wnioski o dofinansowanie w ramach podwyższonego poziomu dofinansowania z prefinansowaniem oraz wnioski o dofinansowanie z najwyższego poziomu dofinansowania, zarówno bez prefinansowania, jaki i z prefinansowaniem, można składać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tylko przy udziale operatora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programu Czyste Powietrze, przez konto grupowe operatora w systemie GWD:</w:t>
      </w:r>
    </w:p>
    <w:p w:rsidR="00505F14" w:rsidRPr="00505F14" w:rsidRDefault="00505F14" w:rsidP="00505F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celu złożenia wniosku w systemie GWD operator wypełnia wniosek danego wnioskodawcy na swoim koncie grupowym w systemie GWD i wnioskodawca podpisuje ten wniosek kwalifikowanym podpisem elektronicznym, albo podpisem zaufanym oraz wniosek jest przesyłany przez operatora automatycznie za pośrednictwem wskazanego serwisu do właściwego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W tym przypadku konieczne jest załączenie załączników do wniosku w formie elektronicznej (skany z wymaganymi podpisami lub załączniki z wymaganymi podpisami elektronicznymi).</w:t>
      </w:r>
    </w:p>
    <w:p w:rsidR="00505F14" w:rsidRPr="00505F14" w:rsidRDefault="00505F14" w:rsidP="00505F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Wniosek składany w postaci papierowej – jeśli wnioskodawca nie dysponuje podpisem elektronicznym, po wypełnieniu przez operatora na jego koncie grupowym w GWD wniosku danego wnioskodawcy, operator za zgodą wnioskodawcy zatwierdza wniosek w systemie aż do uzyskania statusu wniosku „oczekuje na złożenie”, a następnie drukuje ten wniosek z systemu GWD, wnioskodawca podpisuje go swoim odręcznym podpisem i dostarcza w postaci papierowej wraz z załącznikami w postaci papierowej (z wymaganymi podpisami) do właściwego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. Wniosek można wysłać pocztą, złożyć w gminnym PKI lub bezpośrednio w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5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Zawarcie umowy o dofinansowanie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    Po pozytywnej decyzji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zostaniesz poinformowany o przyznaniu dotacji.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KROK 6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Zrealizuj inwestycję, złóż wnioski o płatność i otrzymaj pieniądze.</w:t>
      </w:r>
    </w:p>
    <w:p w:rsidR="00505F14" w:rsidRPr="00505F14" w:rsidRDefault="00505F14" w:rsidP="00505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Po zrealizowanej inwestycji wniosek/ki o płatność (maksymalnie trzy) wypełnij w GWD, wydrukuj i złóż do właściwego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:rsidR="00505F14" w:rsidRPr="00505F14" w:rsidRDefault="00505F14" w:rsidP="00505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 złożeniem wniosku </w:t>
      </w:r>
      <w:hyperlink r:id="rId11" w:history="1">
        <w:r w:rsidRPr="00505F14">
          <w:rPr>
            <w:rFonts w:ascii="Arial" w:eastAsia="Times New Roman" w:hAnsi="Arial" w:cs="Arial"/>
            <w:color w:val="131415"/>
            <w:sz w:val="24"/>
            <w:szCs w:val="24"/>
            <w:lang w:eastAsia="pl-PL"/>
          </w:rPr>
          <w:t>zapoznaj się z instrukcją wypełniania wniosków o płatność</w:t>
        </w:r>
      </w:hyperlink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Warto poznać ten dokument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wcześniej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ponieważ:</w:t>
      </w:r>
    </w:p>
    <w:p w:rsidR="00505F14" w:rsidRPr="00505F14" w:rsidRDefault="00505F14" w:rsidP="00505F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to nie tylko instrukcja, jak wypełnić wniosek o płatność,</w:t>
      </w:r>
    </w:p>
    <w:p w:rsidR="00505F14" w:rsidRPr="00505F14" w:rsidRDefault="00505F14" w:rsidP="00505F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ale też podpowiedzi, jakie dokumenty należy przygotować do rozliczenia i co powinny one zawierać.</w:t>
      </w:r>
    </w:p>
    <w:p w:rsidR="00505F14" w:rsidRPr="00505F14" w:rsidRDefault="00505F14" w:rsidP="00505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nowym programie Czyste Powietrze po realizacji przedsięwzięcia, do rozliczenia końcowego wniosku o płatność, potrzebujesz </w:t>
      </w:r>
      <w:r w:rsidRPr="00505F14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obowiązkowego świadectwa charakterystyki energetycznej</w:t>
      </w: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na które też dostaniesz dotację z programu (przypominamy, że świadectwo charakterystyki energetycznej PO realizacji przedsięwzięcia potwierdzi zmniejszenie zapotrzebowania na energię do ogrzewania).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Kilka wskazówek dotyczących faktur:</w:t>
      </w:r>
    </w:p>
    <w:p w:rsidR="00505F14" w:rsidRPr="00505F14" w:rsidRDefault="00505F14" w:rsidP="00505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Faktury lub inne równoważne dokumenty księgowe powinny jasno wskazywać za jakie prace lub materiały są wystawione – powinny zawierać dane identyfikujące zakupione i zamontowane urządzenia, materiały, wyroby, np. producent, nazwa, model,</w:t>
      </w:r>
    </w:p>
    <w:p w:rsidR="00505F14" w:rsidRPr="00505F14" w:rsidRDefault="00505F14" w:rsidP="00505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weryfikując racjonalność wydatkowania środków, może zwrócić się do wykonawcy z pytaniem o specyfikację do faktury z wyszczególnieniem poszczególnych grup kosztów, żeby potwierdzić ich kwalifikowalność i wspominaną racjonalność,</w:t>
      </w:r>
    </w:p>
    <w:p w:rsidR="00505F14" w:rsidRPr="00505F14" w:rsidRDefault="00505F14" w:rsidP="00505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Jeśli na fakturze widnieje zapis: forma płatności gotówka lub przelew, to należy dostarczyć dowód zapłaty, a jeśli jest zapis: zapłacono gotówką, to nie trzeba przedstawiać dowodu zapłaty.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Pamiętaj, że:</w:t>
      </w:r>
    </w:p>
    <w:p w:rsidR="00505F14" w:rsidRPr="00505F14" w:rsidRDefault="00505F14" w:rsidP="00505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Wnioski składane w ramach programu Czyste Powietrze rozpatrywane są przez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właściwe dla lokalizacji budynku, w którym realizowane jest przedsięwzięcie,</w:t>
      </w:r>
    </w:p>
    <w:p w:rsidR="00505F14" w:rsidRPr="00505F14" w:rsidRDefault="00505F14" w:rsidP="00505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Wniosek składany papierowo należy wysyłać do właściwego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który przyznał dofinansowanie,</w:t>
      </w:r>
    </w:p>
    <w:p w:rsidR="00505F14" w:rsidRPr="00505F14" w:rsidRDefault="00505F14" w:rsidP="00505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Wnioski złożone do niewłaściwego terytorialnie </w:t>
      </w:r>
      <w:proofErr w:type="spellStart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WFOŚiGW</w:t>
      </w:r>
      <w:proofErr w:type="spellEnd"/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lub NFOŚiGW nie będą rozpatrywane,</w:t>
      </w:r>
    </w:p>
    <w:p w:rsidR="00505F14" w:rsidRPr="00505F14" w:rsidRDefault="00505F14" w:rsidP="00505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zależności od tego kiedy złożyłeś wniosek o dofinansowanie, to obowiązuje Cię odpowiednia wersja programu i dokumentów.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05F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505F14" w:rsidRPr="00505F14" w:rsidRDefault="00505F14" w:rsidP="00505F1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bookmarkStart w:id="0" w:name="_GoBack"/>
      <w:bookmarkEnd w:id="0"/>
      <w:r w:rsidRPr="00505F14">
        <w:rPr>
          <w:rFonts w:ascii="Verdana" w:eastAsia="Times New Roman" w:hAnsi="Verdana" w:cs="Arial"/>
          <w:color w:val="212529"/>
          <w:sz w:val="24"/>
          <w:szCs w:val="24"/>
          <w:lang w:eastAsia="pl-PL"/>
        </w:rPr>
        <w:t> </w:t>
      </w:r>
    </w:p>
    <w:p w:rsidR="00981C72" w:rsidRDefault="00981C72"/>
    <w:sectPr w:rsidR="00981C7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A9" w:rsidRDefault="00267DA9" w:rsidP="00733B8A">
      <w:pPr>
        <w:spacing w:after="0" w:line="240" w:lineRule="auto"/>
      </w:pPr>
      <w:r>
        <w:separator/>
      </w:r>
    </w:p>
  </w:endnote>
  <w:endnote w:type="continuationSeparator" w:id="0">
    <w:p w:rsidR="00267DA9" w:rsidRDefault="00267DA9" w:rsidP="007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A9" w:rsidRDefault="00267DA9" w:rsidP="00733B8A">
      <w:pPr>
        <w:spacing w:after="0" w:line="240" w:lineRule="auto"/>
      </w:pPr>
      <w:r>
        <w:separator/>
      </w:r>
    </w:p>
  </w:footnote>
  <w:footnote w:type="continuationSeparator" w:id="0">
    <w:p w:rsidR="00267DA9" w:rsidRDefault="00267DA9" w:rsidP="0073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8A" w:rsidRDefault="00733B8A">
    <w:pPr>
      <w:pStyle w:val="Nagwek"/>
    </w:pPr>
    <w:r>
      <w:rPr>
        <w:noProof/>
        <w:lang w:eastAsia="pl-PL"/>
      </w:rPr>
      <w:drawing>
        <wp:inline distT="0" distB="0" distL="0" distR="0" wp14:anchorId="61E1C1B3" wp14:editId="2CD0D0FC">
          <wp:extent cx="5760720" cy="1647190"/>
          <wp:effectExtent l="0" t="0" r="0" b="0"/>
          <wp:docPr id="1" name="Obraz 1" descr="https://bledzew.pl/files/image/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bledzew.pl/files/image/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6A1"/>
    <w:multiLevelType w:val="multilevel"/>
    <w:tmpl w:val="7D9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A09C7"/>
    <w:multiLevelType w:val="multilevel"/>
    <w:tmpl w:val="8D5E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77A30"/>
    <w:multiLevelType w:val="multilevel"/>
    <w:tmpl w:val="928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65DE6"/>
    <w:multiLevelType w:val="multilevel"/>
    <w:tmpl w:val="287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32360"/>
    <w:multiLevelType w:val="multilevel"/>
    <w:tmpl w:val="BCA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B6212"/>
    <w:multiLevelType w:val="multilevel"/>
    <w:tmpl w:val="11C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D12BE"/>
    <w:multiLevelType w:val="multilevel"/>
    <w:tmpl w:val="4A0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7C"/>
    <w:rsid w:val="001A1991"/>
    <w:rsid w:val="00267DA9"/>
    <w:rsid w:val="00412871"/>
    <w:rsid w:val="00505F14"/>
    <w:rsid w:val="00733B8A"/>
    <w:rsid w:val="00981C72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B8A"/>
  </w:style>
  <w:style w:type="paragraph" w:styleId="Stopka">
    <w:name w:val="footer"/>
    <w:basedOn w:val="Normalny"/>
    <w:link w:val="StopkaZnak"/>
    <w:uiPriority w:val="99"/>
    <w:unhideWhenUsed/>
    <w:rsid w:val="007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B8A"/>
  </w:style>
  <w:style w:type="paragraph" w:styleId="Stopka">
    <w:name w:val="footer"/>
    <w:basedOn w:val="Normalny"/>
    <w:link w:val="StopkaZnak"/>
    <w:uiPriority w:val="99"/>
    <w:unhideWhenUsed/>
    <w:rsid w:val="007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media/informacje-prasowe/nowe-zasady-w-programie-czyste-powietrz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zystepowietrze.gov.pl/wez-dofinansowanie/dokumenty-programowe/dokumenty-obowiazuja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sta-zum.ios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ta-zum.ios.edu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1874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Włodek</dc:creator>
  <cp:keywords/>
  <dc:description/>
  <cp:lastModifiedBy>Magdalena Włodek</cp:lastModifiedBy>
  <cp:revision>6</cp:revision>
  <cp:lastPrinted>2025-05-28T06:40:00Z</cp:lastPrinted>
  <dcterms:created xsi:type="dcterms:W3CDTF">2025-05-13T06:46:00Z</dcterms:created>
  <dcterms:modified xsi:type="dcterms:W3CDTF">2025-07-22T05:17:00Z</dcterms:modified>
</cp:coreProperties>
</file>