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2. Wniosek formalny Zastępca Burmistrza Agnieszka Śnieg - wprowadzenie do porządku obrad projektu nr 10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14:05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10:34:05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